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实施建设类项目水土保持方案告知书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现我局对你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提交的</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水土保持方案审批申请作出准予行政许可决定。为依法实施该项目的水土保持方案，依据《中华人民共和国水土保持法》、《广东省水土保持条例》的相关规定，告知如下：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水行政主管部门将对你单位申报的水土保持方案的真实性和质量作为日常监管内容，对水土保持方案存在较严重质量问题的，将撤销作出的准予许可决定，并责成生产建设单位按非承诺制方式限期重新办理水土保持方案审批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请按照批准的水土保持方案，做好水土保持初步设计和施工图设计，加强施工组织等管理工作，切实落实水土保持“三同时”制度。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期间，你单位应当在项目现场建设管理的场所公开水土保持承诺书，并严格按方案要求落实各项水土保持措施。各项施工活动要严格限定在用地范围内，严禁随意占压、扰动和破坏地表植被；做好表土剥离和弃渣综合利用；根据方案要求合理安排施工时序和水土保持措施实施进度，严格控制施工期可能造成的水土流失。</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根据相关规定，挖填土石方总量五十万立方米以上或者征占地面积五十公顷以上的生产建设项目，生产建设单位应当自行或者委托相应机构对水土流失进行监测；上述规模以下的项目，建议建设单位做好水土保持监测工作，加强水土流失动态监控，监测数据将作为水土保持设施验收的重要材料。水土保持监测工作在项目开工前开展，施工时向我局提交水土保持监测季度报告和年度报告（项目建设工期在三年以上的需报送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、请做好水土保持监理工作，确保水土保持工程质量。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请落实</w:t>
      </w:r>
      <w:r>
        <w:rPr>
          <w:rFonts w:hint="eastAsia" w:ascii="仿宋_GB2312" w:hAnsi="仿宋_GB2312" w:eastAsia="仿宋_GB2312" w:cs="仿宋_GB2312"/>
          <w:sz w:val="32"/>
          <w:szCs w:val="32"/>
          <w:lang w:eastAsia="zh-CN"/>
        </w:rPr>
        <w:t>开工</w:t>
      </w:r>
      <w:r>
        <w:rPr>
          <w:rFonts w:hint="eastAsia" w:ascii="仿宋_GB2312" w:hAnsi="仿宋_GB2312" w:eastAsia="仿宋_GB2312" w:cs="仿宋_GB2312"/>
          <w:sz w:val="32"/>
          <w:szCs w:val="32"/>
        </w:rPr>
        <w:t>报告制度。按相关规定，在项目开工建设后十五个工作日内须向我局书面报告开工信息。为使项目能顺利通过水土保持设施自主验收报备等工作，生产建设单位须及时到我局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办理书面报告开工信息的手续。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应在建设项目动工之日起</w:t>
      </w:r>
      <w:r>
        <w:rPr>
          <w:rFonts w:hint="eastAsia" w:ascii="Times New Roman" w:hAnsi="Times New Roman" w:eastAsia="仿宋_GB2312"/>
          <w:color w:val="auto"/>
          <w:sz w:val="32"/>
          <w:szCs w:val="32"/>
          <w:u w:val="none" w:color="auto"/>
          <w:lang w:eastAsia="zh-CN"/>
        </w:rPr>
        <w:t>15</w:t>
      </w:r>
      <w:r>
        <w:rPr>
          <w:rFonts w:hint="eastAsia" w:ascii="仿宋_GB2312" w:hAnsi="仿宋_GB2312" w:eastAsia="仿宋_GB2312" w:cs="仿宋_GB2312"/>
          <w:sz w:val="32"/>
          <w:szCs w:val="32"/>
        </w:rPr>
        <w:t>天内，按核定的收费标准，到</w:t>
      </w:r>
      <w:r>
        <w:rPr>
          <w:rFonts w:hint="eastAsia" w:ascii="仿宋_GB2312" w:hAnsi="仿宋_GB2312" w:eastAsia="仿宋_GB2312" w:cs="仿宋_GB2312"/>
          <w:sz w:val="32"/>
          <w:szCs w:val="32"/>
          <w:lang w:eastAsia="zh-CN"/>
        </w:rPr>
        <w:t>税务机关</w:t>
      </w:r>
      <w:r>
        <w:rPr>
          <w:rFonts w:hint="eastAsia" w:ascii="仿宋_GB2312" w:hAnsi="仿宋_GB2312" w:eastAsia="仿宋_GB2312" w:cs="仿宋_GB2312"/>
          <w:sz w:val="32"/>
          <w:szCs w:val="32"/>
        </w:rPr>
        <w:t>缴纳水</w:t>
      </w:r>
      <w:bookmarkStart w:id="0" w:name="_GoBack"/>
      <w:bookmarkEnd w:id="0"/>
      <w:r>
        <w:rPr>
          <w:rFonts w:hint="eastAsia" w:ascii="仿宋_GB2312" w:hAnsi="仿宋_GB2312" w:eastAsia="仿宋_GB2312" w:cs="仿宋_GB2312"/>
          <w:sz w:val="32"/>
          <w:szCs w:val="32"/>
        </w:rPr>
        <w:t>土保持补偿费。逾期不缴纳的，每日加收</w:t>
      </w:r>
      <w:r>
        <w:rPr>
          <w:rFonts w:hint="eastAsia" w:ascii="Times New Roman" w:hAnsi="Times New Roman" w:eastAsia="仿宋_GB2312"/>
          <w:color w:val="auto"/>
          <w:sz w:val="32"/>
          <w:szCs w:val="32"/>
          <w:u w:val="none" w:color="auto"/>
          <w:lang w:eastAsia="zh-CN"/>
        </w:rPr>
        <w:t>1‰</w:t>
      </w:r>
      <w:r>
        <w:rPr>
          <w:rFonts w:hint="eastAsia" w:ascii="仿宋_GB2312" w:hAnsi="仿宋_GB2312" w:eastAsia="仿宋_GB2312" w:cs="仿宋_GB2312"/>
          <w:sz w:val="32"/>
          <w:szCs w:val="32"/>
        </w:rPr>
        <w:t>的滞纳金。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如项目建设的地点、规模发生重大变化，或者水土保持方案实施过程中措施发生重大变更，应当补充或者修改水土保持方案，报我局审批。在水土保持方案确定的弃渣场外新设弃渣场，或者需要提高弃渣场堆渣量达到</w:t>
      </w:r>
      <w:r>
        <w:rPr>
          <w:rFonts w:hint="eastAsia" w:ascii="Times New Roman" w:hAnsi="Times New Roman" w:eastAsia="仿宋_GB2312"/>
          <w:color w:val="auto"/>
          <w:sz w:val="32"/>
          <w:szCs w:val="32"/>
          <w:u w:val="none" w:color="auto"/>
          <w:lang w:eastAsia="zh-CN"/>
        </w:rPr>
        <w:t>20%</w:t>
      </w:r>
      <w:r>
        <w:rPr>
          <w:rFonts w:hint="eastAsia" w:ascii="仿宋_GB2312" w:hAnsi="仿宋_GB2312" w:eastAsia="仿宋_GB2312" w:cs="仿宋_GB2312"/>
          <w:sz w:val="32"/>
          <w:szCs w:val="32"/>
        </w:rPr>
        <w:t>及以上的，应当在弃渣前补充编制水土保持方案（弃渣场补充）报告书，报我局审批。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、项目在竣工验收和投产使用前，你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应对水土保持设施进行自主验收。水土保持设施未经验收或者验收不合格的，生产建设项目不得投产使用。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、请配合做好监督检查工作。水行政主管部门对水土保持方案的实施情况进行监督检查时，你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应配合做好相关工作。</w:t>
      </w:r>
      <w:r>
        <w:rPr>
          <w:rFonts w:hint="eastAsia" w:ascii="仿宋_GB2312" w:hAnsi="仿宋_GB2312" w:eastAsia="仿宋_GB2312" w:cs="仿宋_GB2312"/>
          <w:sz w:val="32"/>
          <w:szCs w:val="32"/>
          <w:lang w:eastAsia="zh-CN"/>
        </w:rPr>
        <w:t>对监督检查发现存在问题的，将依法依规采取责令停止违法违规行为、限期整改、行政处罚、行政强制等措施。对生产建设单位作出不实承诺或者未履行承诺，以及生产建设单位和参建单位存在其他失信行为的，将按规定列入水土保持“重点关注名单”和“黑名单”，实行信用惩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如违反上述告知事项，将承担相应的法律责任。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（业务咨询：中山火炬高技术产业开发区水利所</w:t>
      </w:r>
      <w:r>
        <w:rPr>
          <w:rFonts w:hint="eastAsia" w:ascii="Times New Roman" w:hAnsi="Times New Roman" w:eastAsia="仿宋_GB2312" w:cs="Times New Roman"/>
          <w:sz w:val="32"/>
          <w:szCs w:val="22"/>
        </w:rPr>
        <w:t>0760-88280805</w:t>
      </w:r>
      <w:r>
        <w:rPr>
          <w:rFonts w:hint="eastAsia" w:ascii="仿宋_GB2312" w:hAnsi="仿宋_GB2312" w:eastAsia="仿宋_GB2312" w:cs="仿宋_GB2312"/>
          <w:sz w:val="32"/>
          <w:szCs w:val="32"/>
        </w:rPr>
        <w:t>）</w:t>
      </w: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zFkM2M1NzU0YjRkNjViZjRjMGNiYTM4ZDcxMjUifQ=="/>
  </w:docVars>
  <w:rsids>
    <w:rsidRoot w:val="12ED16EB"/>
    <w:rsid w:val="05C16F0A"/>
    <w:rsid w:val="11CB6A46"/>
    <w:rsid w:val="12ED16EB"/>
    <w:rsid w:val="1AA92B6B"/>
    <w:rsid w:val="58DC4BBF"/>
    <w:rsid w:val="59417B99"/>
    <w:rsid w:val="6719055D"/>
    <w:rsid w:val="6F94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1225</Words>
  <Characters>1240</Characters>
  <Lines>0</Lines>
  <Paragraphs>0</Paragraphs>
  <TotalTime>40</TotalTime>
  <ScaleCrop>false</ScaleCrop>
  <LinksUpToDate>false</LinksUpToDate>
  <CharactersWithSpaces>1319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2019-05-29T08:59:00Z</dcterms:created>
  <dc:creator>Mr.QIANG</dc:creator>
  <cp:lastModifiedBy>Mr.QIANG</cp:lastModifiedBy>
  <cp:lastPrinted>2019-08-02T07:02:00Z</cp:lastPrinted>
  <dcterms:modified xsi:type="dcterms:W3CDTF">2023-02-16T01:53:37Z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E874DE52FAA4436E904893C27306CFBB</vt:lpwstr>
  </property>
</Properties>
</file>