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eastAsia="微软雅黑" w:cs="微软雅黑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eastAsia="微软雅黑" w:cs="微软雅黑"/>
          <w:b w:val="0"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附件2</w:t>
      </w:r>
    </w:p>
    <w:tbl>
      <w:tblPr>
        <w:tblStyle w:val="2"/>
        <w:tblW w:w="86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259"/>
        <w:gridCol w:w="1347"/>
        <w:gridCol w:w="1582"/>
        <w:gridCol w:w="1538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68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eastAsia="微软雅黑" w:cs="微软雅黑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小型水库维修养护（中山市）</w:t>
            </w:r>
            <w:r>
              <w:rPr>
                <w:rFonts w:hint="eastAsia" w:ascii="Times New Roman" w:hAnsi="Times New Roman" w:eastAsia="微软雅黑" w:cs="微软雅黑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小型水库维修养护（中山市）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32-其他事业发展性支出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资金主管部门</w:t>
            </w:r>
          </w:p>
        </w:tc>
        <w:tc>
          <w:tcPr>
            <w:tcW w:w="730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中山水务局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设立依据</w:t>
            </w:r>
          </w:p>
        </w:tc>
        <w:tc>
          <w:tcPr>
            <w:tcW w:w="730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《广东省财政厅关于提前下达2025年中央水利发展资金预算的通知》（粤财农〔2024〕1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63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）号）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730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根据任务清单并结合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中山市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实际开展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20个小型水库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维修养护。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完成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个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中山市小型水库工程的维修养护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实施周期指标值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产出指标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小型水库工程维修养护座数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截至2026年6月底，完工项目初步验收率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工程验收合格率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截至2026年6月底，投资完成比例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截至2025年底，投资完成比例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已建工程是否良性运行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工程是否达到设计使用年限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6E6E6" w:fill="E6E6E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  <w:t>受益群众满意度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C1676"/>
    <w:rsid w:val="6767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2025-07-16T11:34:53Z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75732A2BBD3D4CBAAB7277A49CEEFE4D_12</vt:lpwstr>
  </property>
</Properties>
</file>